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44.04.01 Педагогическое образование (высшее образование - магистратура), Направленность (профиль) программы «Инновации в высшем образовании», утв. приказом ректора ОмГА от 27.03.2023 № 51.</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43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Особенности профессиональной деятельности преподавателя современного вуза</w:t>
            </w:r>
          </w:p>
          <w:p>
            <w:pPr>
              <w:jc w:val="center"/>
              <w:spacing w:after="0" w:line="240" w:lineRule="auto"/>
              <w:rPr>
                <w:sz w:val="32"/>
                <w:szCs w:val="32"/>
              </w:rPr>
            </w:pPr>
            <w:r>
              <w:rPr>
                <w:rFonts w:ascii="Times New Roman" w:hAnsi="Times New Roman" w:cs="Times New Roman"/>
                <w:color w:val="#000000"/>
                <w:sz w:val="32"/>
                <w:szCs w:val="32"/>
              </w:rPr>
              <w:t> К.М.04.01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44.04.01 Педагогическое образование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«Инновации в высшем образовании»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205"/>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научно- исследовательский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2657.17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д.пед.н., профессор _________________ /Лопанова Е.В./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 марта 2023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44.04.01 Педагогическое образование направленность (профиль) программы: «Инновации в высшем образовании»;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«Особенности профессиональной деятельности преподавателя современного вуза»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подготовки 44.04.01 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К.М.04.01 «Особенности профессиональной деятельности преподавателя современного вуза».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«Особенности профессиональной деятельности преподавателя современного вуза»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реализовывать и исследовать процесс обучения в высшей школе на основе использования обоснованных форм, методов и приемов организации деятельности обучающихся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нормативно-правовые акты реализации образовательного процесса, формы, методы, приемы организации деятельности обучающихся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знать современную систему организации контроля и оценки достижений обучающихся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знать возрастные особенности обучающихся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 уметь  отбирать соответствующие формы, методы и приемы организации образовательной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ПК-3.5 уметь оценивать результаты освоения обучающимися основных и дополнительных профессиональных  образовательных программ</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ПК-3.6 владеть адекватными приемами создания проблемно ориентированной образовательной среды, способствующей развитию профессиональных компетенций обучающихся</w:t>
            </w:r>
          </w:p>
        </w:tc>
      </w:tr>
      <w:tr>
        <w:trPr>
          <w:trHeight w:hRule="exact" w:val="277.8304"/>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анализировать имеющиеся педагогические условия и проектировать педагогические условия для развития группы обучающихся в системе высшего образования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знать требования ФГОС к компетенциям выпускников</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знать способы педагогической диагностики и условия развития ценностно- смысловой, эмоционально-волевой, потребностно-мотивационной, интеллектуальной сфер обучающихся</w:t>
            </w:r>
          </w:p>
        </w:tc>
      </w:tr>
      <w:tr>
        <w:trPr>
          <w:trHeight w:hRule="exact" w:val="710.157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 уметь обеспечивать педагогическое  сопровождение формирования  и деятельности органов  студенческого самоуправления,  использовать средства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формирования  и развития организационной  культуры  группы обучающих</w:t>
            </w: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ПК-4.5 уметь оказывать методическую  помощь  активу группы,  мотивировать  участие обучающихся  в  разных  видах общественной  деятельности, содействовать формированию лидерских  качеств  и  нравственных ценностей обучающихся</w:t>
            </w: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ПК-4.6 владеть методами, формами,  приемами  и  средствами организации общения и деятельности  обучающихся  группы  с  учетом  их  возрастных  и индивидуальных особенностей</w:t>
            </w:r>
          </w:p>
        </w:tc>
      </w:tr>
      <w:tr>
        <w:trPr>
          <w:trHeight w:hRule="exact" w:val="277.8299"/>
        </w:trPr>
        <w:tc>
          <w:tcPr>
            <w:tcW w:w="3970" w:type="dxa"/>
          </w:tcPr>
          <w:p/>
        </w:tc>
        <w:tc>
          <w:tcPr>
            <w:tcW w:w="3828" w:type="dxa"/>
          </w:tcPr>
          <w:p/>
        </w:tc>
        <w:tc>
          <w:tcPr>
            <w:tcW w:w="852" w:type="dxa"/>
          </w:tcPr>
          <w:p/>
        </w:tc>
        <w:tc>
          <w:tcPr>
            <w:tcW w:w="993" w:type="dxa"/>
          </w:tcP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ПК-6</w:t>
            </w:r>
          </w:p>
          <w:p>
            <w:pPr>
              <w:jc w:val="left"/>
              <w:spacing w:after="0" w:line="240" w:lineRule="auto"/>
              <w:rPr>
                <w:sz w:val="24"/>
                <w:szCs w:val="24"/>
              </w:rPr>
            </w:pPr>
            <w:r>
              <w:rPr>
                <w:rFonts w:ascii="Times New Roman" w:hAnsi="Times New Roman" w:cs="Times New Roman"/>
                <w:b/>
                <w:color w:val="#000000"/>
                <w:sz w:val="24"/>
                <w:szCs w:val="24"/>
              </w:rPr>
              <w:t> Способен анализировать возможные потребности обучающихся, проектировать и реализовывать их индивидуальные маршруты</w:t>
            </w:r>
          </w:p>
        </w:tc>
      </w:tr>
      <w:tr>
        <w:trPr>
          <w:trHeight w:hRule="exact" w:val="585.0601"/>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ПК-6.1 знать особенности проектирования  индивидуальных образовательных маршрутов</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ПК-6.2 знать механизмы адаптации  обучающихся к  особенностям  образовательного процесса  в  образовательной организации</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ПК-6.3 знать техники  и  приемы общения  с  учетом  возрастных  и индивидуальных особенностей собеседников</w:t>
            </w:r>
          </w:p>
        </w:tc>
      </w:tr>
      <w:tr>
        <w:trPr>
          <w:trHeight w:hRule="exact" w:val="855.54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ПК-6.4 уметь оказывать  помощь обучающимся в удовлетворении его потребностей  в интеллектуальном, культурном, нравственном развитии, профессиональном самоопределении</w:t>
            </w:r>
          </w:p>
        </w:tc>
      </w:tr>
      <w:tr>
        <w:trPr>
          <w:trHeight w:hRule="exact" w:val="585.059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ПК-6.5 уметь оказывать  помощь обучающимся в удовлетворении его потребностей  в выборе образовательной  траектории,  в планировании  самостоятельной работы</w:t>
            </w: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ПК-6.6 владеть приемами педагогического    проектирования индивидуальных образовательных маршрутов  для  формирования  у обучающихся  устойчивого, позитивного  отношения  к  своей будущей профессии</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304.583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К.М.04.01 «Особенности профессиональной деятельности преподавателя современного вуза» относится к обязательной части, является дисциплиной Блока Б1. «Дисциплины (модули)». Модуль "Деятельность преподавателя в вузе" основной профессиональной образовательной программы высшего образования - магистратура по направлению подготовки 44.04.01 Педагогическое образование.</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Исследовательская деятельность преподавателя вуза</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Выполнение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 ПК-6, ПК-4</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277.8312"/>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86"/>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85</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1</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Специфика деятельности преподавателя высшей школы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Требования к преподавателю высшей школы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Преподаватель вуза как личность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85</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виды профессиональной деятельности преподавателя образовательной организации высшего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Функции и специфика работы куратора в высшей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6788.899"/>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156.8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Специфика деятельности преподавателя высшей школы</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Общее понятие о педагогической деятельности. Специфика деятельности преподавателя высшей школы. Задачи и уровни педагогической деятельности преподавателя. Стили профессиональной деятельности преподавателя высшей школы. Профессионально- педагогическое мышление: восприятие ситуации как педагогической задачи, анализ ситуации через педагогические категории цели, содержания, средства. Готовность к профессиональной педагогической деятельности в условиях высшей школы.</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Преподаватель вуза как личность</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Профессиограмма преподавателя вуза (по В.А.Сластенину). Направленность личности: социально-нравственная направленность, профессионально-педагогическая направленность, познавательная направленность. Место профессиональной компетентности в структуре личности преподавателя. Профессионально-важные качества личности преподавателя</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Требования к преподавателю высшей школы</w:t>
            </w:r>
          </w:p>
        </w:tc>
      </w:tr>
      <w:tr>
        <w:trPr>
          <w:trHeight w:hRule="exact" w:val="21.31501"/>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Функции преподавателя высшей школы.. Педагогическое мастерство преподавателя высшей школы. Развитие личности преподавателя высшей школы в системе педагогического образования. Модель профессионально-педагогической культуры преподавателя вуза. Педагогическое общение: виды, стратегии, стили и модели. Педагогическая техника как элемент педагогического мастерства преподавателя образовательной организации вышего образования. Профессиональная деформация. «Синдром эмоционального выгорания» и способы его профилактики.</w:t>
            </w:r>
          </w:p>
        </w:tc>
      </w:tr>
      <w:tr>
        <w:trPr>
          <w:trHeight w:hRule="exact" w:val="8.085045"/>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виды профессиональной деятельности преподавателя образовательной организации высшего образования</w:t>
            </w:r>
          </w:p>
        </w:tc>
      </w:tr>
      <w:tr>
        <w:trPr>
          <w:trHeight w:hRule="exact" w:val="21.3149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Компоненты профессиональной деятельности преподавателя. Выбор средств и способов педагогического действия. Основные умения преподавателя в контексте требований современной дидактики. Содержание основных видов профессиональной педагогической деятельности. Уровни продуктивности профессиональной деятельности прподавателя (по Н.В.Кузьминой).</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Функции и специфика работы куратора в высшей школе</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Куратор студенческой группы как субъект воспитания. Задачи работы куратора. Организация деятельности куратора. Функции куратора: планирование, организаторская, стимулирование, коммуникативная, коррекция, прогностическая. Содержание деятельности. Воспитание и воспитательная работа. Психолого-педагогическая поддержка как основа воспитания. Педагогическая поддержка: понятие и сущность. Организация студенческого самоуправления.</w:t>
            </w:r>
          </w:p>
        </w:tc>
      </w:tr>
      <w:tr>
        <w:trPr>
          <w:trHeight w:hRule="exact" w:val="855.54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«Особенности профессиональной деятельности преподавателя современного вуза» / Лопанова Е.В..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89"/>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Педагогическая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Савенков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978-5-534-10232-1.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https://urait.ru/bcode/442476</w:t>
            </w:r>
            <w:r>
              <w:rPr/>
              <w:t xml:space="preserve"> </w:t>
            </w:r>
          </w:p>
        </w:tc>
      </w:tr>
      <w:tr>
        <w:trPr>
          <w:trHeight w:hRule="exact" w:val="1096.47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высшей</w:t>
            </w:r>
            <w:r>
              <w:rPr/>
              <w:t xml:space="preserve"> </w:t>
            </w:r>
            <w:r>
              <w:rPr>
                <w:rFonts w:ascii="Times New Roman" w:hAnsi="Times New Roman" w:cs="Times New Roman"/>
                <w:color w:val="#000000"/>
                <w:sz w:val="24"/>
                <w:szCs w:val="24"/>
              </w:rPr>
              <w:t>школы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Охременко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Дмитриева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Козлов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Копылов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Кормилин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Кустова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Прокопов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Сопит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Сопит</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Шаркевич</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Шевелева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978-5-534-08594-5.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https://urait.ru/bcode/438919</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Педагогическая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Савенков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978-5-534-02107-3.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https://urait.ru/bcode/436528</w:t>
            </w:r>
            <w:r>
              <w:rPr/>
              <w:t xml:space="preserve"> </w:t>
            </w: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Педагогическая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Сарычев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Логвинов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978-5-534-01697-0.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https://urait.ru/bcode/438298</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преподавателя</w:t>
            </w:r>
            <w:r>
              <w:rPr/>
              <w:t xml:space="preserve"> </w:t>
            </w:r>
            <w:r>
              <w:rPr>
                <w:rFonts w:ascii="Times New Roman" w:hAnsi="Times New Roman" w:cs="Times New Roman"/>
                <w:color w:val="#000000"/>
                <w:sz w:val="24"/>
                <w:szCs w:val="24"/>
              </w:rPr>
              <w:t>высшей</w:t>
            </w:r>
            <w:r>
              <w:rPr/>
              <w:t xml:space="preserve"> </w:t>
            </w:r>
            <w:r>
              <w:rPr>
                <w:rFonts w:ascii="Times New Roman" w:hAnsi="Times New Roman" w:cs="Times New Roman"/>
                <w:color w:val="#000000"/>
                <w:sz w:val="24"/>
                <w:szCs w:val="24"/>
              </w:rPr>
              <w:t>школы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Кокорева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Курдюмов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Сорокина-Исполатова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преподавателя</w:t>
            </w:r>
            <w:r>
              <w:rPr/>
              <w:t xml:space="preserve"> </w:t>
            </w:r>
            <w:r>
              <w:rPr>
                <w:rFonts w:ascii="Times New Roman" w:hAnsi="Times New Roman" w:cs="Times New Roman"/>
                <w:color w:val="#000000"/>
                <w:sz w:val="24"/>
                <w:szCs w:val="24"/>
              </w:rPr>
              <w:t>высшей</w:t>
            </w:r>
            <w:r>
              <w:rPr/>
              <w:t xml:space="preserve"> </w:t>
            </w:r>
            <w:r>
              <w:rPr>
                <w:rFonts w:ascii="Times New Roman" w:hAnsi="Times New Roman" w:cs="Times New Roman"/>
                <w:color w:val="#000000"/>
                <w:sz w:val="24"/>
                <w:szCs w:val="24"/>
              </w:rPr>
              <w:t>школы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мировых</w:t>
            </w:r>
            <w:r>
              <w:rPr/>
              <w:t xml:space="preserve"> </w:t>
            </w:r>
            <w:r>
              <w:rPr>
                <w:rFonts w:ascii="Times New Roman" w:hAnsi="Times New Roman" w:cs="Times New Roman"/>
                <w:color w:val="#000000"/>
                <w:sz w:val="24"/>
                <w:szCs w:val="24"/>
              </w:rPr>
              <w:t>цивилизаций,</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978-5-7117-0800-1.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http://www.iprbookshop.ru/77634.html</w:t>
            </w:r>
            <w:r>
              <w:rPr/>
              <w:t xml:space="preserve"> </w:t>
            </w:r>
          </w:p>
        </w:tc>
      </w:tr>
      <w:tr>
        <w:trPr>
          <w:trHeight w:hRule="exact" w:val="277.8299"/>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Научная</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педагогического</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Педагогическая</w:t>
            </w:r>
            <w:r>
              <w:rPr/>
              <w:t xml:space="preserve"> </w:t>
            </w:r>
            <w:r>
              <w:rPr>
                <w:rFonts w:ascii="Times New Roman" w:hAnsi="Times New Roman" w:cs="Times New Roman"/>
                <w:color w:val="#000000"/>
                <w:sz w:val="24"/>
                <w:szCs w:val="24"/>
              </w:rPr>
              <w:t>эргономика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Воронина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978-5-534-09623-1.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https://urait.ru/bcode/428203</w:t>
            </w:r>
            <w:r>
              <w:rPr/>
              <w:t xml:space="preserve"> </w:t>
            </w:r>
          </w:p>
        </w:tc>
      </w:tr>
      <w:tr>
        <w:trPr>
          <w:trHeight w:hRule="exact" w:val="799.3859"/>
        </w:trPr>
        <w:tc>
          <w:tcPr>
            <w:tcW w:w="9654" w:type="dxa"/>
            <w:gridSpan w:val="2"/>
            <w:tcBorders>
</w:tcBorders>
            <w:vMerge/>
            <w:shd w:val="clear" w:color="#000000" w:fill="#FFFFFF"/>
            <w:vAlign w:val="top"/>
            <w:tcMar>
              <w:left w:w="34" w:type="dxa"/>
              <w:right w:w="34" w:type="dxa"/>
            </w:tcMar>
          </w:tcPr>
          <w:p/>
        </w:tc>
      </w:tr>
      <w:tr>
        <w:trPr>
          <w:trHeight w:hRule="exact" w:val="585.06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5"/>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429.2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386.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150.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14.57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3412.3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2023-2024_ФГОС3++2023_Маг-ЗФО-ПО(Иннов)(23)_plx_Особенности профессиональной деятельности преподавателя современного вуза</dc:title>
  <dc:creator>FastReport.NET</dc:creator>
</cp:coreProperties>
</file>